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 #</w:t>
      </w:r>
      <w:r w:rsidR="0056282E">
        <w:t>86</w:t>
      </w:r>
      <w:r w:rsidR="00AC2A5F">
        <w:t>bis</w:t>
      </w:r>
      <w:r w:rsidRPr="00446F9D">
        <w:tab/>
      </w:r>
      <w:r w:rsidR="00363390" w:rsidRPr="00363390">
        <w:t>R1-16</w:t>
      </w:r>
      <w:r w:rsidR="009D3405">
        <w:t>10710</w:t>
      </w:r>
      <w:bookmarkStart w:id="0" w:name="_GoBack"/>
      <w:bookmarkEnd w:id="0"/>
    </w:p>
    <w:p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86087F">
        <w:t xml:space="preserve">Discussion on </w:t>
      </w:r>
      <w:r w:rsidR="00580D67">
        <w:t>downlink control channels</w:t>
      </w:r>
    </w:p>
    <w:p w:rsidR="00FE5799" w:rsidRPr="00E220C0" w:rsidRDefault="00FE5799" w:rsidP="00FE5799">
      <w:pPr>
        <w:pStyle w:val="Header"/>
        <w:tabs>
          <w:tab w:val="left" w:pos="1800"/>
        </w:tabs>
      </w:pPr>
      <w:r w:rsidRPr="00E220C0">
        <w:t>Agenda Item:</w:t>
      </w:r>
      <w:bookmarkStart w:id="2" w:name="Source"/>
      <w:bookmarkEnd w:id="2"/>
      <w:r w:rsidRPr="00E220C0">
        <w:tab/>
      </w:r>
      <w:r w:rsidR="00D516DD" w:rsidRPr="00537B4C">
        <w:t>8</w:t>
      </w:r>
      <w:r w:rsidR="008F77A7" w:rsidRPr="00537B4C">
        <w:t>.1.</w:t>
      </w:r>
      <w:r w:rsidR="00E13BDA">
        <w:t>7</w:t>
      </w:r>
      <w:r w:rsidR="00B5516A">
        <w:t>.1</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CE4E11" w:rsidRDefault="008B38BA" w:rsidP="00CE4E11">
      <w:pPr>
        <w:pStyle w:val="BodyText"/>
      </w:pPr>
      <w:r>
        <w:t xml:space="preserve">In this </w:t>
      </w:r>
      <w:r w:rsidR="0086087F">
        <w:t>document</w:t>
      </w:r>
      <w:r>
        <w:t xml:space="preserve"> some high-level </w:t>
      </w:r>
      <w:r w:rsidR="0086087F">
        <w:t>questions</w:t>
      </w:r>
      <w:r>
        <w:t xml:space="preserve"> on downlink </w:t>
      </w:r>
      <w:r w:rsidR="0086087F">
        <w:t>control signaling are provided</w:t>
      </w:r>
      <w:r>
        <w:t>.</w:t>
      </w:r>
      <w:r w:rsidR="0086087F">
        <w:t xml:space="preserve"> The list does not </w:t>
      </w:r>
      <w:proofErr w:type="spellStart"/>
      <w:r w:rsidR="0086087F">
        <w:t>calim</w:t>
      </w:r>
      <w:proofErr w:type="spellEnd"/>
      <w:r w:rsidR="0086087F">
        <w:t xml:space="preserve"> to be complete and additional questions and details are clearly needed in order to finish the design. The scope is primarily the “PDCCH” used for transmission of e.g. scheduling assignments and scheduling grants. Other types of control channels are not precluded but not within the scope of this document.</w:t>
      </w:r>
    </w:p>
    <w:p w:rsidR="00FE5799" w:rsidRDefault="00037C51" w:rsidP="00FE5799">
      <w:pPr>
        <w:pStyle w:val="Heading1"/>
        <w:spacing w:before="180"/>
        <w:ind w:left="562" w:hanging="562"/>
      </w:pPr>
      <w:r>
        <w:t>Discussion</w:t>
      </w:r>
    </w:p>
    <w:p w:rsidR="00EE478D" w:rsidRDefault="008B38BA" w:rsidP="00EE478D">
      <w:pPr>
        <w:pStyle w:val="Heading2"/>
      </w:pPr>
      <w:r>
        <w:t>Beamforming</w:t>
      </w:r>
      <w:r w:rsidR="00EE478D">
        <w:t xml:space="preserve"> </w:t>
      </w:r>
      <w:r w:rsidR="0086087F">
        <w:t>of</w:t>
      </w:r>
      <w:r w:rsidR="00EE478D">
        <w:t xml:space="preserve"> control channels</w:t>
      </w:r>
    </w:p>
    <w:p w:rsidR="0086087F" w:rsidRDefault="0086087F" w:rsidP="0086087F">
      <w:pPr>
        <w:pStyle w:val="BodyText"/>
        <w:numPr>
          <w:ilvl w:val="0"/>
          <w:numId w:val="24"/>
        </w:numPr>
      </w:pPr>
      <w:r>
        <w:t>Can we agree that there is a need for UE-specific beamforming of control channels?</w:t>
      </w:r>
    </w:p>
    <w:p w:rsidR="0086087F" w:rsidRDefault="0086087F" w:rsidP="0086087F">
      <w:pPr>
        <w:pStyle w:val="BodyText"/>
        <w:numPr>
          <w:ilvl w:val="0"/>
          <w:numId w:val="24"/>
        </w:numPr>
      </w:pPr>
      <w:r>
        <w:t>What is the impact on broadcast-like control channels such as the PCFICH in LTE?</w:t>
      </w:r>
    </w:p>
    <w:p w:rsidR="0086087F" w:rsidRDefault="0086087F" w:rsidP="0086087F">
      <w:pPr>
        <w:pStyle w:val="BodyText"/>
        <w:numPr>
          <w:ilvl w:val="0"/>
          <w:numId w:val="24"/>
        </w:numPr>
      </w:pPr>
      <w:r>
        <w:t>What is the impact on the RS structure? Should each PDCCH have its own DM-RS? Should it be possible to share DM-RS across UEs?</w:t>
      </w:r>
    </w:p>
    <w:p w:rsidR="0086087F" w:rsidRDefault="0086087F" w:rsidP="0086087F">
      <w:pPr>
        <w:pStyle w:val="BodyText"/>
        <w:numPr>
          <w:ilvl w:val="0"/>
          <w:numId w:val="24"/>
        </w:numPr>
      </w:pPr>
      <w:r>
        <w:t xml:space="preserve">Should transmit diversity be supported when beamforming is not used? Spec-transparent </w:t>
      </w:r>
      <w:proofErr w:type="spellStart"/>
      <w:r>
        <w:t>Tx</w:t>
      </w:r>
      <w:proofErr w:type="spellEnd"/>
      <w:r>
        <w:t xml:space="preserve"> diversity or explicitly capture in the specifications?</w:t>
      </w:r>
    </w:p>
    <w:p w:rsidR="0086087F" w:rsidRPr="0086087F" w:rsidRDefault="0086087F" w:rsidP="0086087F">
      <w:pPr>
        <w:pStyle w:val="BodyText"/>
      </w:pPr>
    </w:p>
    <w:tbl>
      <w:tblPr>
        <w:tblStyle w:val="TableGrid"/>
        <w:tblW w:w="0" w:type="auto"/>
        <w:tblLook w:val="04A0" w:firstRow="1" w:lastRow="0" w:firstColumn="1" w:lastColumn="0" w:noHBand="0" w:noVBand="1"/>
      </w:tblPr>
      <w:tblGrid>
        <w:gridCol w:w="2195"/>
        <w:gridCol w:w="6867"/>
      </w:tblGrid>
      <w:tr w:rsidR="0086087F" w:rsidTr="0086087F">
        <w:tc>
          <w:tcPr>
            <w:tcW w:w="2235" w:type="dxa"/>
            <w:shd w:val="clear" w:color="auto" w:fill="D9D9D9" w:themeFill="background1" w:themeFillShade="D9"/>
          </w:tcPr>
          <w:p w:rsidR="0086087F" w:rsidRDefault="0086087F" w:rsidP="0086087F">
            <w:pPr>
              <w:pStyle w:val="BodyText"/>
            </w:pPr>
            <w:r>
              <w:t>Company</w:t>
            </w:r>
          </w:p>
        </w:tc>
        <w:tc>
          <w:tcPr>
            <w:tcW w:w="7053" w:type="dxa"/>
            <w:shd w:val="clear" w:color="auto" w:fill="D9D9D9" w:themeFill="background1" w:themeFillShade="D9"/>
          </w:tcPr>
          <w:p w:rsidR="0086087F" w:rsidRDefault="0086087F" w:rsidP="0086087F">
            <w:pPr>
              <w:pStyle w:val="BodyText"/>
            </w:pPr>
            <w:r>
              <w:t>Comments</w:t>
            </w:r>
          </w:p>
        </w:tc>
      </w:tr>
      <w:tr w:rsidR="0086087F" w:rsidTr="0086087F">
        <w:tc>
          <w:tcPr>
            <w:tcW w:w="2235" w:type="dxa"/>
          </w:tcPr>
          <w:p w:rsidR="0086087F" w:rsidRDefault="002C0453" w:rsidP="0086087F">
            <w:pPr>
              <w:pStyle w:val="BodyText"/>
            </w:pPr>
            <w:r>
              <w:t>Ericsson</w:t>
            </w:r>
          </w:p>
        </w:tc>
        <w:tc>
          <w:tcPr>
            <w:tcW w:w="7053" w:type="dxa"/>
          </w:tcPr>
          <w:p w:rsidR="0086087F" w:rsidRDefault="002C0453" w:rsidP="0086087F">
            <w:pPr>
              <w:pStyle w:val="BodyText"/>
            </w:pPr>
            <w:r>
              <w:t xml:space="preserve">Yes, UE-specific beamforming of PDCCH should be possible. Broadcasted PCFICH-like channels should be avoided. The baseline is DM-RS per PDCCH, shared DM-RS (common across multiple PDCCHs) is FFS. </w:t>
            </w:r>
          </w:p>
        </w:tc>
      </w:tr>
      <w:tr w:rsidR="0086087F" w:rsidTr="0086087F">
        <w:tc>
          <w:tcPr>
            <w:tcW w:w="2235" w:type="dxa"/>
          </w:tcPr>
          <w:p w:rsidR="0086087F" w:rsidRDefault="0086087F" w:rsidP="0086087F">
            <w:pPr>
              <w:pStyle w:val="BodyText"/>
            </w:pPr>
          </w:p>
        </w:tc>
        <w:tc>
          <w:tcPr>
            <w:tcW w:w="7053" w:type="dxa"/>
          </w:tcPr>
          <w:p w:rsidR="0086087F" w:rsidRDefault="0086087F" w:rsidP="0086087F">
            <w:pPr>
              <w:pStyle w:val="BodyText"/>
            </w:pPr>
          </w:p>
        </w:tc>
      </w:tr>
    </w:tbl>
    <w:p w:rsidR="0086087F" w:rsidRDefault="0086087F" w:rsidP="0086087F">
      <w:pPr>
        <w:pStyle w:val="BodyText"/>
      </w:pPr>
    </w:p>
    <w:p w:rsidR="0086087F" w:rsidRDefault="0086087F" w:rsidP="0086087F">
      <w:pPr>
        <w:pStyle w:val="Heading2"/>
      </w:pPr>
      <w:r>
        <w:t>Frequency dimension</w:t>
      </w:r>
    </w:p>
    <w:p w:rsidR="0086087F" w:rsidRDefault="0086087F" w:rsidP="0086087F">
      <w:pPr>
        <w:pStyle w:val="BodyText"/>
      </w:pPr>
      <w:r>
        <w:t xml:space="preserve">Control channels cannot span the full system bandwidth in all cases (unlike LTE) as the bandwidth supported by a UE may be less than the bandwidth of the carrier transmitted from the </w:t>
      </w:r>
      <w:proofErr w:type="spellStart"/>
      <w:r>
        <w:t>gNodeB</w:t>
      </w:r>
      <w:proofErr w:type="spellEnd"/>
      <w:r>
        <w:t>.</w:t>
      </w:r>
    </w:p>
    <w:p w:rsidR="0086087F" w:rsidRDefault="0086087F" w:rsidP="0086087F">
      <w:pPr>
        <w:pStyle w:val="BodyText"/>
        <w:numPr>
          <w:ilvl w:val="0"/>
          <w:numId w:val="25"/>
        </w:numPr>
      </w:pPr>
      <w:r>
        <w:t>Should we introduce some form of “</w:t>
      </w:r>
      <w:proofErr w:type="spellStart"/>
      <w:r>
        <w:t>subband</w:t>
      </w:r>
      <w:proofErr w:type="spellEnd"/>
      <w:r>
        <w:t>” or “frequency-domain control region”?</w:t>
      </w:r>
    </w:p>
    <w:p w:rsidR="0086087F" w:rsidRDefault="0086087F" w:rsidP="0086087F">
      <w:pPr>
        <w:pStyle w:val="BodyText"/>
        <w:numPr>
          <w:ilvl w:val="0"/>
          <w:numId w:val="25"/>
        </w:numPr>
      </w:pPr>
      <w:r>
        <w:t>What would be the size of such a control region?</w:t>
      </w:r>
    </w:p>
    <w:p w:rsidR="0086087F" w:rsidRDefault="0086087F" w:rsidP="0086087F">
      <w:pPr>
        <w:pStyle w:val="BodyText"/>
        <w:numPr>
          <w:ilvl w:val="0"/>
          <w:numId w:val="25"/>
        </w:numPr>
      </w:pPr>
      <w:r>
        <w:t>How does the UE know where it is located?</w:t>
      </w:r>
    </w:p>
    <w:p w:rsidR="0086087F" w:rsidRDefault="0086087F" w:rsidP="0086087F">
      <w:pPr>
        <w:pStyle w:val="BodyText"/>
      </w:pPr>
    </w:p>
    <w:tbl>
      <w:tblPr>
        <w:tblStyle w:val="TableGrid"/>
        <w:tblW w:w="0" w:type="auto"/>
        <w:tblLook w:val="04A0" w:firstRow="1" w:lastRow="0" w:firstColumn="1" w:lastColumn="0" w:noHBand="0" w:noVBand="1"/>
      </w:tblPr>
      <w:tblGrid>
        <w:gridCol w:w="2196"/>
        <w:gridCol w:w="6866"/>
      </w:tblGrid>
      <w:tr w:rsidR="0086087F" w:rsidTr="00B122C9">
        <w:tc>
          <w:tcPr>
            <w:tcW w:w="2235" w:type="dxa"/>
            <w:shd w:val="clear" w:color="auto" w:fill="D9D9D9" w:themeFill="background1" w:themeFillShade="D9"/>
          </w:tcPr>
          <w:p w:rsidR="0086087F" w:rsidRDefault="0086087F" w:rsidP="00B122C9">
            <w:pPr>
              <w:pStyle w:val="BodyText"/>
            </w:pPr>
            <w:r>
              <w:t>Company</w:t>
            </w:r>
          </w:p>
        </w:tc>
        <w:tc>
          <w:tcPr>
            <w:tcW w:w="7053" w:type="dxa"/>
            <w:shd w:val="clear" w:color="auto" w:fill="D9D9D9" w:themeFill="background1" w:themeFillShade="D9"/>
          </w:tcPr>
          <w:p w:rsidR="0086087F" w:rsidRDefault="0086087F" w:rsidP="00B122C9">
            <w:pPr>
              <w:pStyle w:val="BodyText"/>
            </w:pPr>
            <w:r>
              <w:t>Comments</w:t>
            </w:r>
          </w:p>
        </w:tc>
      </w:tr>
      <w:tr w:rsidR="0086087F" w:rsidTr="00B122C9">
        <w:tc>
          <w:tcPr>
            <w:tcW w:w="2235" w:type="dxa"/>
          </w:tcPr>
          <w:p w:rsidR="0086087F" w:rsidRDefault="002C0453" w:rsidP="00B122C9">
            <w:pPr>
              <w:pStyle w:val="BodyText"/>
            </w:pPr>
            <w:r>
              <w:t>Ericsson</w:t>
            </w:r>
          </w:p>
        </w:tc>
        <w:tc>
          <w:tcPr>
            <w:tcW w:w="7053" w:type="dxa"/>
          </w:tcPr>
          <w:p w:rsidR="0086087F" w:rsidRDefault="002C0453" w:rsidP="00B122C9">
            <w:pPr>
              <w:pStyle w:val="BodyText"/>
            </w:pPr>
            <w:r>
              <w:t xml:space="preserve">Yes, introduce a “control </w:t>
            </w:r>
            <w:proofErr w:type="spellStart"/>
            <w:r>
              <w:t>subband</w:t>
            </w:r>
            <w:proofErr w:type="spellEnd"/>
            <w:r>
              <w:t xml:space="preserve">”. Around 5 MHz, at least for lower frequencies. There could be multiple control </w:t>
            </w:r>
            <w:proofErr w:type="spellStart"/>
            <w:r>
              <w:t>subbands</w:t>
            </w:r>
            <w:proofErr w:type="spellEnd"/>
            <w:r>
              <w:t xml:space="preserve"> </w:t>
            </w:r>
            <w:proofErr w:type="spellStart"/>
            <w:r>
              <w:t>ina</w:t>
            </w:r>
            <w:proofErr w:type="spellEnd"/>
            <w:r>
              <w:t xml:space="preserve"> system but a UE may only monitor a subset of them. </w:t>
            </w:r>
          </w:p>
        </w:tc>
      </w:tr>
      <w:tr w:rsidR="0086087F" w:rsidTr="00B122C9">
        <w:tc>
          <w:tcPr>
            <w:tcW w:w="2235" w:type="dxa"/>
          </w:tcPr>
          <w:p w:rsidR="0086087F" w:rsidRDefault="0086087F" w:rsidP="00B122C9">
            <w:pPr>
              <w:pStyle w:val="BodyText"/>
            </w:pPr>
          </w:p>
        </w:tc>
        <w:tc>
          <w:tcPr>
            <w:tcW w:w="7053" w:type="dxa"/>
          </w:tcPr>
          <w:p w:rsidR="0086087F" w:rsidRDefault="0086087F" w:rsidP="00B122C9">
            <w:pPr>
              <w:pStyle w:val="BodyText"/>
            </w:pPr>
          </w:p>
        </w:tc>
      </w:tr>
    </w:tbl>
    <w:p w:rsidR="0086087F" w:rsidRDefault="0086087F" w:rsidP="0086087F">
      <w:pPr>
        <w:pStyle w:val="BodyText"/>
      </w:pPr>
    </w:p>
    <w:p w:rsidR="0086087F" w:rsidRDefault="0086087F" w:rsidP="0086087F">
      <w:pPr>
        <w:pStyle w:val="Heading2"/>
      </w:pPr>
      <w:r>
        <w:t>Time dimension</w:t>
      </w:r>
    </w:p>
    <w:p w:rsidR="0086087F" w:rsidRDefault="0086087F" w:rsidP="0086087F">
      <w:pPr>
        <w:pStyle w:val="BodyText"/>
        <w:numPr>
          <w:ilvl w:val="0"/>
          <w:numId w:val="26"/>
        </w:numPr>
      </w:pPr>
      <w:proofErr w:type="gramStart"/>
      <w:r>
        <w:t>Are</w:t>
      </w:r>
      <w:proofErr w:type="gramEnd"/>
      <w:r>
        <w:t xml:space="preserve"> downlink control signaling located at the first OFDM symbol(s) of a slot (or mini-slot)?</w:t>
      </w:r>
    </w:p>
    <w:p w:rsidR="0086087F" w:rsidRDefault="0086087F" w:rsidP="0086087F">
      <w:pPr>
        <w:pStyle w:val="BodyText"/>
        <w:numPr>
          <w:ilvl w:val="0"/>
          <w:numId w:val="26"/>
        </w:numPr>
      </w:pPr>
      <w:r>
        <w:lastRenderedPageBreak/>
        <w:t>What is the size of the control region in time? One or multiple OFDM symbols? Can the control region size vary dynamically in time?</w:t>
      </w:r>
    </w:p>
    <w:p w:rsidR="00A81EFF" w:rsidRDefault="0086087F" w:rsidP="00A81EFF">
      <w:pPr>
        <w:pStyle w:val="BodyText"/>
        <w:numPr>
          <w:ilvl w:val="0"/>
          <w:numId w:val="26"/>
        </w:numPr>
      </w:pPr>
      <w:r>
        <w:t>Is one PDCCH limited to one OFDM symbol or can a single PDCCH span multiple OFDM symbols?</w:t>
      </w:r>
    </w:p>
    <w:p w:rsidR="0086087F" w:rsidRDefault="0086087F" w:rsidP="00A81EFF">
      <w:pPr>
        <w:pStyle w:val="BodyText"/>
        <w:numPr>
          <w:ilvl w:val="0"/>
          <w:numId w:val="26"/>
        </w:numPr>
      </w:pPr>
      <w:r>
        <w:t xml:space="preserve">Is FDM between data and </w:t>
      </w:r>
      <w:r w:rsidR="002C0453">
        <w:t>control</w:t>
      </w:r>
      <w:r>
        <w:t xml:space="preserve"> supported or do we adopt a TDM-only approach?</w:t>
      </w:r>
    </w:p>
    <w:p w:rsidR="00A81EFF" w:rsidRDefault="00A81EFF" w:rsidP="00A81EFF">
      <w:pPr>
        <w:pStyle w:val="BodyText"/>
        <w:numPr>
          <w:ilvl w:val="0"/>
          <w:numId w:val="26"/>
        </w:numPr>
      </w:pPr>
      <w:r>
        <w:t>Do we have single-stage (like LTE) or</w:t>
      </w:r>
      <w:r w:rsidRPr="00A81EFF">
        <w:t xml:space="preserve"> multi-stage PDCCH (first DCI points to the remaining DCI)?</w:t>
      </w:r>
    </w:p>
    <w:p w:rsidR="00A81EFF" w:rsidRDefault="00A81EFF" w:rsidP="00A81EFF">
      <w:pPr>
        <w:pStyle w:val="BodyText"/>
      </w:pPr>
    </w:p>
    <w:tbl>
      <w:tblPr>
        <w:tblStyle w:val="TableGrid"/>
        <w:tblW w:w="0" w:type="auto"/>
        <w:tblLook w:val="04A0" w:firstRow="1" w:lastRow="0" w:firstColumn="1" w:lastColumn="0" w:noHBand="0" w:noVBand="1"/>
      </w:tblPr>
      <w:tblGrid>
        <w:gridCol w:w="2196"/>
        <w:gridCol w:w="6866"/>
      </w:tblGrid>
      <w:tr w:rsidR="00A81EFF" w:rsidTr="00B122C9">
        <w:tc>
          <w:tcPr>
            <w:tcW w:w="2235" w:type="dxa"/>
            <w:shd w:val="clear" w:color="auto" w:fill="D9D9D9" w:themeFill="background1" w:themeFillShade="D9"/>
          </w:tcPr>
          <w:p w:rsidR="00A81EFF" w:rsidRDefault="00A81EFF" w:rsidP="00B122C9">
            <w:pPr>
              <w:pStyle w:val="BodyText"/>
            </w:pPr>
            <w:r>
              <w:t>Company</w:t>
            </w:r>
          </w:p>
        </w:tc>
        <w:tc>
          <w:tcPr>
            <w:tcW w:w="7053" w:type="dxa"/>
            <w:shd w:val="clear" w:color="auto" w:fill="D9D9D9" w:themeFill="background1" w:themeFillShade="D9"/>
          </w:tcPr>
          <w:p w:rsidR="00A81EFF" w:rsidRDefault="00A81EFF" w:rsidP="00B122C9">
            <w:pPr>
              <w:pStyle w:val="BodyText"/>
            </w:pPr>
            <w:r>
              <w:t>Comments</w:t>
            </w:r>
          </w:p>
        </w:tc>
      </w:tr>
      <w:tr w:rsidR="00A81EFF" w:rsidTr="00B122C9">
        <w:tc>
          <w:tcPr>
            <w:tcW w:w="2235" w:type="dxa"/>
          </w:tcPr>
          <w:p w:rsidR="00A81EFF" w:rsidRDefault="002C0453" w:rsidP="00B122C9">
            <w:pPr>
              <w:pStyle w:val="BodyText"/>
            </w:pPr>
            <w:r>
              <w:t>Ericsson</w:t>
            </w:r>
          </w:p>
        </w:tc>
        <w:tc>
          <w:tcPr>
            <w:tcW w:w="7053" w:type="dxa"/>
          </w:tcPr>
          <w:p w:rsidR="00A81EFF" w:rsidRDefault="002C0453" w:rsidP="00B122C9">
            <w:pPr>
              <w:pStyle w:val="BodyText"/>
            </w:pPr>
            <w:r>
              <w:t>Yes, DL control signaling is located in the first OFDM symbol(s). Preferably one PDCCH spans one OFDM symbol. Single-stage PDCCH is the baseline.</w:t>
            </w:r>
          </w:p>
        </w:tc>
      </w:tr>
      <w:tr w:rsidR="00A81EFF" w:rsidTr="00B122C9">
        <w:tc>
          <w:tcPr>
            <w:tcW w:w="2235" w:type="dxa"/>
          </w:tcPr>
          <w:p w:rsidR="00A81EFF" w:rsidRDefault="00A81EFF" w:rsidP="00B122C9">
            <w:pPr>
              <w:pStyle w:val="BodyText"/>
            </w:pPr>
          </w:p>
        </w:tc>
        <w:tc>
          <w:tcPr>
            <w:tcW w:w="7053" w:type="dxa"/>
          </w:tcPr>
          <w:p w:rsidR="00A81EFF" w:rsidRDefault="00A81EFF" w:rsidP="00B122C9">
            <w:pPr>
              <w:pStyle w:val="BodyText"/>
            </w:pPr>
          </w:p>
        </w:tc>
      </w:tr>
    </w:tbl>
    <w:p w:rsidR="00A81EFF" w:rsidRDefault="00A81EFF" w:rsidP="00A81EFF">
      <w:pPr>
        <w:pStyle w:val="BodyText"/>
      </w:pPr>
    </w:p>
    <w:p w:rsidR="00A81EFF" w:rsidRDefault="00A81EFF" w:rsidP="00A81EFF">
      <w:pPr>
        <w:pStyle w:val="Heading2"/>
      </w:pPr>
      <w:r>
        <w:t>DCI timing</w:t>
      </w:r>
    </w:p>
    <w:p w:rsidR="00A81EFF" w:rsidRDefault="00A81EFF" w:rsidP="00A81EFF">
      <w:pPr>
        <w:pStyle w:val="BodyText"/>
        <w:numPr>
          <w:ilvl w:val="0"/>
          <w:numId w:val="27"/>
        </w:numPr>
      </w:pPr>
      <w:r>
        <w:t>What timing relations in terms of scheduling are supported?</w:t>
      </w:r>
    </w:p>
    <w:p w:rsidR="00A81EFF" w:rsidRDefault="00A81EFF" w:rsidP="00A81EFF">
      <w:pPr>
        <w:pStyle w:val="BodyText"/>
        <w:numPr>
          <w:ilvl w:val="1"/>
          <w:numId w:val="27"/>
        </w:numPr>
      </w:pPr>
      <w:r>
        <w:t xml:space="preserve">Same-slot (DCI and DL data in same slot) </w:t>
      </w:r>
    </w:p>
    <w:p w:rsidR="00A81EFF" w:rsidRDefault="00A81EFF" w:rsidP="00A81EFF">
      <w:pPr>
        <w:pStyle w:val="BodyText"/>
        <w:numPr>
          <w:ilvl w:val="1"/>
          <w:numId w:val="27"/>
        </w:numPr>
      </w:pPr>
      <w:r>
        <w:t>Cross-slot (DCI and DL data in different slots)?</w:t>
      </w:r>
    </w:p>
    <w:p w:rsidR="00A81EFF" w:rsidRDefault="00A81EFF" w:rsidP="00A81EFF">
      <w:pPr>
        <w:pStyle w:val="BodyText"/>
        <w:numPr>
          <w:ilvl w:val="1"/>
          <w:numId w:val="27"/>
        </w:numPr>
      </w:pPr>
      <w:r>
        <w:t>Same-slot (DCI and UL data in same slot)?</w:t>
      </w:r>
    </w:p>
    <w:p w:rsidR="00A81EFF" w:rsidRDefault="00A81EFF" w:rsidP="00A81EFF">
      <w:pPr>
        <w:pStyle w:val="BodyText"/>
        <w:numPr>
          <w:ilvl w:val="1"/>
          <w:numId w:val="27"/>
        </w:numPr>
      </w:pPr>
      <w:r>
        <w:t>Cross-slot (DCI and UL data in different slots)?</w:t>
      </w:r>
    </w:p>
    <w:p w:rsidR="00A81EFF" w:rsidRDefault="00A81EFF" w:rsidP="00A81EFF">
      <w:pPr>
        <w:pStyle w:val="BodyText"/>
      </w:pPr>
    </w:p>
    <w:tbl>
      <w:tblPr>
        <w:tblStyle w:val="TableGrid"/>
        <w:tblW w:w="0" w:type="auto"/>
        <w:tblLook w:val="04A0" w:firstRow="1" w:lastRow="0" w:firstColumn="1" w:lastColumn="0" w:noHBand="0" w:noVBand="1"/>
      </w:tblPr>
      <w:tblGrid>
        <w:gridCol w:w="2196"/>
        <w:gridCol w:w="6866"/>
      </w:tblGrid>
      <w:tr w:rsidR="00A81EFF" w:rsidTr="00B122C9">
        <w:tc>
          <w:tcPr>
            <w:tcW w:w="2235" w:type="dxa"/>
            <w:shd w:val="clear" w:color="auto" w:fill="D9D9D9" w:themeFill="background1" w:themeFillShade="D9"/>
          </w:tcPr>
          <w:p w:rsidR="00A81EFF" w:rsidRDefault="00A81EFF" w:rsidP="00B122C9">
            <w:pPr>
              <w:pStyle w:val="BodyText"/>
            </w:pPr>
            <w:r>
              <w:t>Company</w:t>
            </w:r>
          </w:p>
        </w:tc>
        <w:tc>
          <w:tcPr>
            <w:tcW w:w="7053" w:type="dxa"/>
            <w:shd w:val="clear" w:color="auto" w:fill="D9D9D9" w:themeFill="background1" w:themeFillShade="D9"/>
          </w:tcPr>
          <w:p w:rsidR="00A81EFF" w:rsidRDefault="00A81EFF" w:rsidP="00B122C9">
            <w:pPr>
              <w:pStyle w:val="BodyText"/>
            </w:pPr>
            <w:r>
              <w:t>Comments</w:t>
            </w:r>
          </w:p>
        </w:tc>
      </w:tr>
      <w:tr w:rsidR="00A81EFF" w:rsidTr="00B122C9">
        <w:tc>
          <w:tcPr>
            <w:tcW w:w="2235" w:type="dxa"/>
          </w:tcPr>
          <w:p w:rsidR="00A81EFF" w:rsidRDefault="002C0453" w:rsidP="00B122C9">
            <w:pPr>
              <w:pStyle w:val="BodyText"/>
            </w:pPr>
            <w:r>
              <w:t>Ericsson</w:t>
            </w:r>
          </w:p>
        </w:tc>
        <w:tc>
          <w:tcPr>
            <w:tcW w:w="7053" w:type="dxa"/>
          </w:tcPr>
          <w:p w:rsidR="00A81EFF" w:rsidRDefault="002C0453" w:rsidP="00B122C9">
            <w:pPr>
              <w:pStyle w:val="BodyText"/>
            </w:pPr>
            <w:proofErr w:type="gramStart"/>
            <w:r>
              <w:t>Yes</w:t>
            </w:r>
            <w:proofErr w:type="gramEnd"/>
            <w:r>
              <w:t xml:space="preserve"> to all (both same-slot and cross-slot scheduling possible in both DL and UL)</w:t>
            </w:r>
          </w:p>
        </w:tc>
      </w:tr>
      <w:tr w:rsidR="00A81EFF" w:rsidTr="00B122C9">
        <w:tc>
          <w:tcPr>
            <w:tcW w:w="2235" w:type="dxa"/>
          </w:tcPr>
          <w:p w:rsidR="00A81EFF" w:rsidRDefault="00A81EFF" w:rsidP="00B122C9">
            <w:pPr>
              <w:pStyle w:val="BodyText"/>
            </w:pPr>
          </w:p>
        </w:tc>
        <w:tc>
          <w:tcPr>
            <w:tcW w:w="7053" w:type="dxa"/>
          </w:tcPr>
          <w:p w:rsidR="00A81EFF" w:rsidRDefault="00A81EFF" w:rsidP="00B122C9">
            <w:pPr>
              <w:pStyle w:val="BodyText"/>
            </w:pPr>
          </w:p>
        </w:tc>
      </w:tr>
    </w:tbl>
    <w:p w:rsidR="00A81EFF" w:rsidRDefault="00A81EFF" w:rsidP="00A81EFF">
      <w:pPr>
        <w:pStyle w:val="BodyText"/>
      </w:pPr>
    </w:p>
    <w:p w:rsidR="00A81EFF" w:rsidRDefault="00A81EFF" w:rsidP="00A81EFF">
      <w:pPr>
        <w:pStyle w:val="Heading2"/>
      </w:pPr>
      <w:r>
        <w:t>Blind decoding and DCI formats</w:t>
      </w:r>
    </w:p>
    <w:p w:rsidR="00000000" w:rsidRDefault="00977B9E" w:rsidP="00A81EFF">
      <w:pPr>
        <w:pStyle w:val="BodyText"/>
        <w:numPr>
          <w:ilvl w:val="0"/>
          <w:numId w:val="27"/>
        </w:numPr>
      </w:pPr>
      <w:r w:rsidRPr="00A81EFF">
        <w:t>Should we try to clean up the LTE DCI format structure</w:t>
      </w:r>
      <w:r w:rsidR="00A81EFF">
        <w:t>, e.g. by limit the number of DCI sizes?</w:t>
      </w:r>
    </w:p>
    <w:p w:rsidR="00A81EFF" w:rsidRDefault="00A81EFF" w:rsidP="00A81EFF">
      <w:pPr>
        <w:pStyle w:val="BodyText"/>
      </w:pPr>
    </w:p>
    <w:tbl>
      <w:tblPr>
        <w:tblStyle w:val="TableGrid"/>
        <w:tblW w:w="0" w:type="auto"/>
        <w:tblLook w:val="04A0" w:firstRow="1" w:lastRow="0" w:firstColumn="1" w:lastColumn="0" w:noHBand="0" w:noVBand="1"/>
      </w:tblPr>
      <w:tblGrid>
        <w:gridCol w:w="2196"/>
        <w:gridCol w:w="6866"/>
      </w:tblGrid>
      <w:tr w:rsidR="00A81EFF" w:rsidTr="00B122C9">
        <w:tc>
          <w:tcPr>
            <w:tcW w:w="2235" w:type="dxa"/>
            <w:shd w:val="clear" w:color="auto" w:fill="D9D9D9" w:themeFill="background1" w:themeFillShade="D9"/>
          </w:tcPr>
          <w:p w:rsidR="00A81EFF" w:rsidRDefault="00A81EFF" w:rsidP="00B122C9">
            <w:pPr>
              <w:pStyle w:val="BodyText"/>
            </w:pPr>
            <w:r>
              <w:t>Company</w:t>
            </w:r>
          </w:p>
        </w:tc>
        <w:tc>
          <w:tcPr>
            <w:tcW w:w="7053" w:type="dxa"/>
            <w:shd w:val="clear" w:color="auto" w:fill="D9D9D9" w:themeFill="background1" w:themeFillShade="D9"/>
          </w:tcPr>
          <w:p w:rsidR="00A81EFF" w:rsidRDefault="00A81EFF" w:rsidP="00B122C9">
            <w:pPr>
              <w:pStyle w:val="BodyText"/>
            </w:pPr>
            <w:r>
              <w:t>Comments</w:t>
            </w:r>
          </w:p>
        </w:tc>
      </w:tr>
      <w:tr w:rsidR="00A81EFF" w:rsidTr="00B122C9">
        <w:tc>
          <w:tcPr>
            <w:tcW w:w="2235" w:type="dxa"/>
          </w:tcPr>
          <w:p w:rsidR="00A81EFF" w:rsidRDefault="002C0453" w:rsidP="00B122C9">
            <w:pPr>
              <w:pStyle w:val="BodyText"/>
            </w:pPr>
            <w:r>
              <w:t>Ericsson</w:t>
            </w:r>
          </w:p>
        </w:tc>
        <w:tc>
          <w:tcPr>
            <w:tcW w:w="7053" w:type="dxa"/>
          </w:tcPr>
          <w:p w:rsidR="00A81EFF" w:rsidRDefault="002C0453" w:rsidP="00B122C9">
            <w:pPr>
              <w:pStyle w:val="BodyText"/>
            </w:pPr>
            <w:r>
              <w:t>Yes, try to clean up the LTE DCI format structure, e.g. by limiting the number of possible DCI payload sizes to a few candidates. A small header in each DCI can indicate how to interpret the remaining bits.</w:t>
            </w:r>
          </w:p>
        </w:tc>
      </w:tr>
      <w:tr w:rsidR="00A81EFF" w:rsidTr="00B122C9">
        <w:tc>
          <w:tcPr>
            <w:tcW w:w="2235" w:type="dxa"/>
          </w:tcPr>
          <w:p w:rsidR="00A81EFF" w:rsidRDefault="00A81EFF" w:rsidP="00B122C9">
            <w:pPr>
              <w:pStyle w:val="BodyText"/>
            </w:pPr>
          </w:p>
        </w:tc>
        <w:tc>
          <w:tcPr>
            <w:tcW w:w="7053" w:type="dxa"/>
          </w:tcPr>
          <w:p w:rsidR="00A81EFF" w:rsidRDefault="00A81EFF" w:rsidP="00B122C9">
            <w:pPr>
              <w:pStyle w:val="BodyText"/>
            </w:pPr>
          </w:p>
        </w:tc>
      </w:tr>
    </w:tbl>
    <w:p w:rsidR="00A81EFF" w:rsidRDefault="00A81EFF" w:rsidP="00A81EFF">
      <w:pPr>
        <w:pStyle w:val="BodyText"/>
      </w:pPr>
    </w:p>
    <w:p w:rsidR="00A81EFF" w:rsidRDefault="00A81EFF" w:rsidP="00A81EFF">
      <w:pPr>
        <w:pStyle w:val="Heading2"/>
      </w:pPr>
      <w:r>
        <w:t>Other</w:t>
      </w:r>
    </w:p>
    <w:p w:rsidR="00A81EFF" w:rsidRDefault="00A81EFF" w:rsidP="00A81EFF">
      <w:pPr>
        <w:pStyle w:val="BodyText"/>
        <w:numPr>
          <w:ilvl w:val="0"/>
          <w:numId w:val="27"/>
        </w:numPr>
      </w:pPr>
      <w:r>
        <w:t xml:space="preserve">Any other high-level </w:t>
      </w:r>
      <w:proofErr w:type="spellStart"/>
      <w:r>
        <w:t>apsects</w:t>
      </w:r>
      <w:proofErr w:type="spellEnd"/>
      <w:r>
        <w:t xml:space="preserve"> you would like to add?</w:t>
      </w:r>
    </w:p>
    <w:p w:rsidR="00A81EFF" w:rsidRDefault="00A81EFF" w:rsidP="00A81EFF">
      <w:pPr>
        <w:pStyle w:val="BodyText"/>
      </w:pPr>
    </w:p>
    <w:tbl>
      <w:tblPr>
        <w:tblStyle w:val="TableGrid"/>
        <w:tblW w:w="0" w:type="auto"/>
        <w:tblLook w:val="04A0" w:firstRow="1" w:lastRow="0" w:firstColumn="1" w:lastColumn="0" w:noHBand="0" w:noVBand="1"/>
      </w:tblPr>
      <w:tblGrid>
        <w:gridCol w:w="2196"/>
        <w:gridCol w:w="6866"/>
      </w:tblGrid>
      <w:tr w:rsidR="00A81EFF" w:rsidTr="00B122C9">
        <w:tc>
          <w:tcPr>
            <w:tcW w:w="2235" w:type="dxa"/>
            <w:shd w:val="clear" w:color="auto" w:fill="D9D9D9" w:themeFill="background1" w:themeFillShade="D9"/>
          </w:tcPr>
          <w:p w:rsidR="00A81EFF" w:rsidRDefault="00A81EFF" w:rsidP="00B122C9">
            <w:pPr>
              <w:pStyle w:val="BodyText"/>
            </w:pPr>
            <w:r>
              <w:t>Company</w:t>
            </w:r>
          </w:p>
        </w:tc>
        <w:tc>
          <w:tcPr>
            <w:tcW w:w="7053" w:type="dxa"/>
            <w:shd w:val="clear" w:color="auto" w:fill="D9D9D9" w:themeFill="background1" w:themeFillShade="D9"/>
          </w:tcPr>
          <w:p w:rsidR="00A81EFF" w:rsidRDefault="00A81EFF" w:rsidP="00B122C9">
            <w:pPr>
              <w:pStyle w:val="BodyText"/>
            </w:pPr>
            <w:r>
              <w:t>Comments</w:t>
            </w:r>
          </w:p>
        </w:tc>
      </w:tr>
      <w:tr w:rsidR="00A81EFF" w:rsidTr="00B122C9">
        <w:tc>
          <w:tcPr>
            <w:tcW w:w="2235" w:type="dxa"/>
          </w:tcPr>
          <w:p w:rsidR="00A81EFF" w:rsidRDefault="00A81EFF" w:rsidP="00B122C9">
            <w:pPr>
              <w:pStyle w:val="BodyText"/>
            </w:pPr>
          </w:p>
        </w:tc>
        <w:tc>
          <w:tcPr>
            <w:tcW w:w="7053" w:type="dxa"/>
          </w:tcPr>
          <w:p w:rsidR="00A81EFF" w:rsidRDefault="00A81EFF" w:rsidP="00B122C9">
            <w:pPr>
              <w:pStyle w:val="BodyText"/>
            </w:pPr>
          </w:p>
        </w:tc>
      </w:tr>
      <w:tr w:rsidR="00A81EFF" w:rsidTr="00B122C9">
        <w:tc>
          <w:tcPr>
            <w:tcW w:w="2235" w:type="dxa"/>
          </w:tcPr>
          <w:p w:rsidR="00A81EFF" w:rsidRDefault="00A81EFF" w:rsidP="00B122C9">
            <w:pPr>
              <w:pStyle w:val="BodyText"/>
            </w:pPr>
          </w:p>
        </w:tc>
        <w:tc>
          <w:tcPr>
            <w:tcW w:w="7053" w:type="dxa"/>
          </w:tcPr>
          <w:p w:rsidR="00A81EFF" w:rsidRDefault="00A81EFF" w:rsidP="00B122C9">
            <w:pPr>
              <w:pStyle w:val="BodyText"/>
            </w:pPr>
          </w:p>
        </w:tc>
      </w:tr>
    </w:tbl>
    <w:p w:rsidR="00A81EFF" w:rsidRPr="00A81EFF" w:rsidRDefault="00A81EFF" w:rsidP="00A81EFF">
      <w:pPr>
        <w:pStyle w:val="BodyText"/>
      </w:pPr>
    </w:p>
    <w:sectPr w:rsidR="00A81EFF" w:rsidRPr="00A81EF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B9E" w:rsidRDefault="00977B9E">
      <w:r>
        <w:separator/>
      </w:r>
    </w:p>
  </w:endnote>
  <w:endnote w:type="continuationSeparator" w:id="0">
    <w:p w:rsidR="00977B9E" w:rsidRDefault="0097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B9E" w:rsidRDefault="00977B9E">
      <w:r>
        <w:separator/>
      </w:r>
    </w:p>
  </w:footnote>
  <w:footnote w:type="continuationSeparator" w:id="0">
    <w:p w:rsidR="00977B9E" w:rsidRDefault="0097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977B9E"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64DD2"/>
    <w:multiLevelType w:val="hybridMultilevel"/>
    <w:tmpl w:val="3A2AB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34A28"/>
    <w:multiLevelType w:val="hybridMultilevel"/>
    <w:tmpl w:val="5C24574E"/>
    <w:lvl w:ilvl="0" w:tplc="B6D22114">
      <w:start w:val="1"/>
      <w:numFmt w:val="bullet"/>
      <w:lvlText w:val="–"/>
      <w:lvlJc w:val="left"/>
      <w:pPr>
        <w:tabs>
          <w:tab w:val="num" w:pos="720"/>
        </w:tabs>
        <w:ind w:left="720" w:hanging="360"/>
      </w:pPr>
      <w:rPr>
        <w:rFonts w:ascii="Ericsson Capital TT" w:hAnsi="Ericsson Capital TT" w:hint="default"/>
      </w:rPr>
    </w:lvl>
    <w:lvl w:ilvl="1" w:tplc="8744CB14">
      <w:start w:val="1"/>
      <w:numFmt w:val="bullet"/>
      <w:lvlText w:val="–"/>
      <w:lvlJc w:val="left"/>
      <w:pPr>
        <w:tabs>
          <w:tab w:val="num" w:pos="1440"/>
        </w:tabs>
        <w:ind w:left="1440" w:hanging="360"/>
      </w:pPr>
      <w:rPr>
        <w:rFonts w:ascii="Ericsson Capital TT" w:hAnsi="Ericsson Capital TT" w:hint="default"/>
      </w:rPr>
    </w:lvl>
    <w:lvl w:ilvl="2" w:tplc="47DE820A" w:tentative="1">
      <w:start w:val="1"/>
      <w:numFmt w:val="bullet"/>
      <w:lvlText w:val="–"/>
      <w:lvlJc w:val="left"/>
      <w:pPr>
        <w:tabs>
          <w:tab w:val="num" w:pos="2160"/>
        </w:tabs>
        <w:ind w:left="2160" w:hanging="360"/>
      </w:pPr>
      <w:rPr>
        <w:rFonts w:ascii="Ericsson Capital TT" w:hAnsi="Ericsson Capital TT" w:hint="default"/>
      </w:rPr>
    </w:lvl>
    <w:lvl w:ilvl="3" w:tplc="5E7A0D32" w:tentative="1">
      <w:start w:val="1"/>
      <w:numFmt w:val="bullet"/>
      <w:lvlText w:val="–"/>
      <w:lvlJc w:val="left"/>
      <w:pPr>
        <w:tabs>
          <w:tab w:val="num" w:pos="2880"/>
        </w:tabs>
        <w:ind w:left="2880" w:hanging="360"/>
      </w:pPr>
      <w:rPr>
        <w:rFonts w:ascii="Ericsson Capital TT" w:hAnsi="Ericsson Capital TT" w:hint="default"/>
      </w:rPr>
    </w:lvl>
    <w:lvl w:ilvl="4" w:tplc="9EEC2D6E" w:tentative="1">
      <w:start w:val="1"/>
      <w:numFmt w:val="bullet"/>
      <w:lvlText w:val="–"/>
      <w:lvlJc w:val="left"/>
      <w:pPr>
        <w:tabs>
          <w:tab w:val="num" w:pos="3600"/>
        </w:tabs>
        <w:ind w:left="3600" w:hanging="360"/>
      </w:pPr>
      <w:rPr>
        <w:rFonts w:ascii="Ericsson Capital TT" w:hAnsi="Ericsson Capital TT" w:hint="default"/>
      </w:rPr>
    </w:lvl>
    <w:lvl w:ilvl="5" w:tplc="635C157A" w:tentative="1">
      <w:start w:val="1"/>
      <w:numFmt w:val="bullet"/>
      <w:lvlText w:val="–"/>
      <w:lvlJc w:val="left"/>
      <w:pPr>
        <w:tabs>
          <w:tab w:val="num" w:pos="4320"/>
        </w:tabs>
        <w:ind w:left="4320" w:hanging="360"/>
      </w:pPr>
      <w:rPr>
        <w:rFonts w:ascii="Ericsson Capital TT" w:hAnsi="Ericsson Capital TT" w:hint="default"/>
      </w:rPr>
    </w:lvl>
    <w:lvl w:ilvl="6" w:tplc="4CDE7294" w:tentative="1">
      <w:start w:val="1"/>
      <w:numFmt w:val="bullet"/>
      <w:lvlText w:val="–"/>
      <w:lvlJc w:val="left"/>
      <w:pPr>
        <w:tabs>
          <w:tab w:val="num" w:pos="5040"/>
        </w:tabs>
        <w:ind w:left="5040" w:hanging="360"/>
      </w:pPr>
      <w:rPr>
        <w:rFonts w:ascii="Ericsson Capital TT" w:hAnsi="Ericsson Capital TT" w:hint="default"/>
      </w:rPr>
    </w:lvl>
    <w:lvl w:ilvl="7" w:tplc="1EFCEE26" w:tentative="1">
      <w:start w:val="1"/>
      <w:numFmt w:val="bullet"/>
      <w:lvlText w:val="–"/>
      <w:lvlJc w:val="left"/>
      <w:pPr>
        <w:tabs>
          <w:tab w:val="num" w:pos="5760"/>
        </w:tabs>
        <w:ind w:left="5760" w:hanging="360"/>
      </w:pPr>
      <w:rPr>
        <w:rFonts w:ascii="Ericsson Capital TT" w:hAnsi="Ericsson Capital TT" w:hint="default"/>
      </w:rPr>
    </w:lvl>
    <w:lvl w:ilvl="8" w:tplc="DCA68D98"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FC6042E"/>
    <w:multiLevelType w:val="hybridMultilevel"/>
    <w:tmpl w:val="347C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92BD0"/>
    <w:multiLevelType w:val="hybridMultilevel"/>
    <w:tmpl w:val="1BE6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374F93"/>
    <w:multiLevelType w:val="hybridMultilevel"/>
    <w:tmpl w:val="DF2E7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522BA"/>
    <w:multiLevelType w:val="hybridMultilevel"/>
    <w:tmpl w:val="0964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F4C3E"/>
    <w:multiLevelType w:val="hybridMultilevel"/>
    <w:tmpl w:val="68A2A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432809"/>
    <w:multiLevelType w:val="hybridMultilevel"/>
    <w:tmpl w:val="3F4E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FF765F"/>
    <w:multiLevelType w:val="hybridMultilevel"/>
    <w:tmpl w:val="D1BE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6"/>
  </w:num>
  <w:num w:numId="4">
    <w:abstractNumId w:val="12"/>
  </w:num>
  <w:num w:numId="5">
    <w:abstractNumId w:val="7"/>
  </w:num>
  <w:num w:numId="6">
    <w:abstractNumId w:val="4"/>
  </w:num>
  <w:num w:numId="7">
    <w:abstractNumId w:val="19"/>
  </w:num>
  <w:num w:numId="8">
    <w:abstractNumId w:val="22"/>
  </w:num>
  <w:num w:numId="9">
    <w:abstractNumId w:val="22"/>
  </w:num>
  <w:num w:numId="10">
    <w:abstractNumId w:val="21"/>
  </w:num>
  <w:num w:numId="11">
    <w:abstractNumId w:val="22"/>
  </w:num>
  <w:num w:numId="12">
    <w:abstractNumId w:val="18"/>
  </w:num>
  <w:num w:numId="13">
    <w:abstractNumId w:val="3"/>
  </w:num>
  <w:num w:numId="14">
    <w:abstractNumId w:val="5"/>
  </w:num>
  <w:num w:numId="15">
    <w:abstractNumId w:val="13"/>
  </w:num>
  <w:num w:numId="16">
    <w:abstractNumId w:val="2"/>
  </w:num>
  <w:num w:numId="17">
    <w:abstractNumId w:val="8"/>
  </w:num>
  <w:num w:numId="18">
    <w:abstractNumId w:val="17"/>
  </w:num>
  <w:num w:numId="19">
    <w:abstractNumId w:val="14"/>
  </w:num>
  <w:num w:numId="20">
    <w:abstractNumId w:val="11"/>
  </w:num>
  <w:num w:numId="21">
    <w:abstractNumId w:val="16"/>
  </w:num>
  <w:num w:numId="22">
    <w:abstractNumId w:val="15"/>
  </w:num>
  <w:num w:numId="23">
    <w:abstractNumId w:val="22"/>
  </w:num>
  <w:num w:numId="24">
    <w:abstractNumId w:val="20"/>
  </w:num>
  <w:num w:numId="25">
    <w:abstractNumId w:val="10"/>
  </w:num>
  <w:num w:numId="26">
    <w:abstractNumId w:val="23"/>
  </w:num>
  <w:num w:numId="27">
    <w:abstractNumId w:val="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251E"/>
    <w:rsid w:val="000944E4"/>
    <w:rsid w:val="000A258F"/>
    <w:rsid w:val="001018DF"/>
    <w:rsid w:val="00112E18"/>
    <w:rsid w:val="00114B6A"/>
    <w:rsid w:val="00141448"/>
    <w:rsid w:val="00142260"/>
    <w:rsid w:val="00175D32"/>
    <w:rsid w:val="00191E60"/>
    <w:rsid w:val="001B4110"/>
    <w:rsid w:val="001C5CE9"/>
    <w:rsid w:val="001D5808"/>
    <w:rsid w:val="0021013F"/>
    <w:rsid w:val="00214784"/>
    <w:rsid w:val="0025780D"/>
    <w:rsid w:val="00290099"/>
    <w:rsid w:val="002C0453"/>
    <w:rsid w:val="002D0AB6"/>
    <w:rsid w:val="002E6A70"/>
    <w:rsid w:val="00304706"/>
    <w:rsid w:val="00343A18"/>
    <w:rsid w:val="00350180"/>
    <w:rsid w:val="00361CA8"/>
    <w:rsid w:val="00363390"/>
    <w:rsid w:val="003875A3"/>
    <w:rsid w:val="003A3E47"/>
    <w:rsid w:val="004067C0"/>
    <w:rsid w:val="00422F7B"/>
    <w:rsid w:val="004837C7"/>
    <w:rsid w:val="004B57FD"/>
    <w:rsid w:val="004C321E"/>
    <w:rsid w:val="004C4387"/>
    <w:rsid w:val="004D7360"/>
    <w:rsid w:val="004E70DB"/>
    <w:rsid w:val="00525831"/>
    <w:rsid w:val="005260BE"/>
    <w:rsid w:val="00537B4C"/>
    <w:rsid w:val="0054164C"/>
    <w:rsid w:val="00541E43"/>
    <w:rsid w:val="0055264E"/>
    <w:rsid w:val="0056282E"/>
    <w:rsid w:val="00566F92"/>
    <w:rsid w:val="00570BCE"/>
    <w:rsid w:val="00580D67"/>
    <w:rsid w:val="00587AD2"/>
    <w:rsid w:val="005C439D"/>
    <w:rsid w:val="005F57CF"/>
    <w:rsid w:val="0060203F"/>
    <w:rsid w:val="0061336B"/>
    <w:rsid w:val="0062673F"/>
    <w:rsid w:val="0064164A"/>
    <w:rsid w:val="00643A16"/>
    <w:rsid w:val="00665E2A"/>
    <w:rsid w:val="006A286A"/>
    <w:rsid w:val="006B271B"/>
    <w:rsid w:val="0075384C"/>
    <w:rsid w:val="007569CA"/>
    <w:rsid w:val="007A01C0"/>
    <w:rsid w:val="00815566"/>
    <w:rsid w:val="008302A2"/>
    <w:rsid w:val="00834DE7"/>
    <w:rsid w:val="0083689E"/>
    <w:rsid w:val="00841BE8"/>
    <w:rsid w:val="0086087F"/>
    <w:rsid w:val="008739DF"/>
    <w:rsid w:val="008A0B64"/>
    <w:rsid w:val="008B23D4"/>
    <w:rsid w:val="008B38BA"/>
    <w:rsid w:val="008E31D2"/>
    <w:rsid w:val="008F77A7"/>
    <w:rsid w:val="0091488F"/>
    <w:rsid w:val="0097401A"/>
    <w:rsid w:val="00977B9E"/>
    <w:rsid w:val="009A6BB8"/>
    <w:rsid w:val="009B2E48"/>
    <w:rsid w:val="009C60EA"/>
    <w:rsid w:val="009D3405"/>
    <w:rsid w:val="009E70EF"/>
    <w:rsid w:val="009F0F87"/>
    <w:rsid w:val="009F4079"/>
    <w:rsid w:val="00A3059E"/>
    <w:rsid w:val="00A37001"/>
    <w:rsid w:val="00A41E84"/>
    <w:rsid w:val="00A47015"/>
    <w:rsid w:val="00A757B8"/>
    <w:rsid w:val="00A808F6"/>
    <w:rsid w:val="00A81AA1"/>
    <w:rsid w:val="00A81EFF"/>
    <w:rsid w:val="00A85E54"/>
    <w:rsid w:val="00AA0A42"/>
    <w:rsid w:val="00AA13EF"/>
    <w:rsid w:val="00AC2A5F"/>
    <w:rsid w:val="00AE3947"/>
    <w:rsid w:val="00B00FDB"/>
    <w:rsid w:val="00B368D9"/>
    <w:rsid w:val="00B52C5F"/>
    <w:rsid w:val="00B5516A"/>
    <w:rsid w:val="00B85DCB"/>
    <w:rsid w:val="00BA2CDD"/>
    <w:rsid w:val="00BA3D9B"/>
    <w:rsid w:val="00BA76BC"/>
    <w:rsid w:val="00BF7E13"/>
    <w:rsid w:val="00C073DB"/>
    <w:rsid w:val="00C13452"/>
    <w:rsid w:val="00C1560A"/>
    <w:rsid w:val="00C326A6"/>
    <w:rsid w:val="00C50B3C"/>
    <w:rsid w:val="00C55346"/>
    <w:rsid w:val="00C61496"/>
    <w:rsid w:val="00C93774"/>
    <w:rsid w:val="00CB4D3D"/>
    <w:rsid w:val="00CE02E7"/>
    <w:rsid w:val="00CE28B2"/>
    <w:rsid w:val="00CE4E11"/>
    <w:rsid w:val="00CF2225"/>
    <w:rsid w:val="00CF67BE"/>
    <w:rsid w:val="00D02349"/>
    <w:rsid w:val="00D03119"/>
    <w:rsid w:val="00D04257"/>
    <w:rsid w:val="00D338CE"/>
    <w:rsid w:val="00D350E3"/>
    <w:rsid w:val="00D516DD"/>
    <w:rsid w:val="00D63209"/>
    <w:rsid w:val="00D701A0"/>
    <w:rsid w:val="00DA110D"/>
    <w:rsid w:val="00DB3BC8"/>
    <w:rsid w:val="00DC085D"/>
    <w:rsid w:val="00DD1935"/>
    <w:rsid w:val="00DD4245"/>
    <w:rsid w:val="00DE3421"/>
    <w:rsid w:val="00DE63BC"/>
    <w:rsid w:val="00DF6135"/>
    <w:rsid w:val="00DF71DB"/>
    <w:rsid w:val="00DF762C"/>
    <w:rsid w:val="00E0407B"/>
    <w:rsid w:val="00E13BDA"/>
    <w:rsid w:val="00E220C0"/>
    <w:rsid w:val="00E31041"/>
    <w:rsid w:val="00E57CED"/>
    <w:rsid w:val="00E63D88"/>
    <w:rsid w:val="00E83054"/>
    <w:rsid w:val="00EA148A"/>
    <w:rsid w:val="00EA172F"/>
    <w:rsid w:val="00EA1984"/>
    <w:rsid w:val="00EC76D4"/>
    <w:rsid w:val="00EE478D"/>
    <w:rsid w:val="00F0587F"/>
    <w:rsid w:val="00F21365"/>
    <w:rsid w:val="00F37D49"/>
    <w:rsid w:val="00F51EB4"/>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6F3D2"/>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720F2-F8CA-48E4-8340-F3F9E8FF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2016-10-11T14:47:00Z</dcterms:created>
  <dcterms:modified xsi:type="dcterms:W3CDTF">2016-10-11T14:47:00Z</dcterms:modified>
</cp:coreProperties>
</file>